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693" w:rsidRDefault="00182693" w:rsidP="00182693">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DB4A4F" w:rsidRPr="00182693" w:rsidRDefault="00182693" w:rsidP="00182693">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DB4A4F" w:rsidRPr="00182693">
        <w:rPr>
          <w:rFonts w:ascii="微软雅黑" w:eastAsia="微软雅黑" w:hAnsi="微软雅黑" w:hint="eastAsia"/>
          <w:b/>
          <w:bCs/>
          <w:color w:val="002060"/>
          <w:sz w:val="40"/>
          <w:szCs w:val="40"/>
          <w:bdr w:val="none" w:sz="0" w:space="0" w:color="auto" w:frame="1"/>
        </w:rPr>
        <w:t>金银首饰消费税征收管理办法</w:t>
      </w:r>
      <w:r>
        <w:rPr>
          <w:rFonts w:ascii="微软雅黑" w:eastAsia="微软雅黑" w:hAnsi="微软雅黑" w:hint="eastAsia"/>
          <w:b/>
          <w:bCs/>
          <w:color w:val="002060"/>
          <w:sz w:val="40"/>
          <w:szCs w:val="40"/>
          <w:bdr w:val="none" w:sz="0" w:space="0" w:color="auto" w:frame="1"/>
        </w:rPr>
        <w:t>】</w:t>
      </w:r>
    </w:p>
    <w:p w:rsidR="00182693" w:rsidRPr="00182693" w:rsidRDefault="00182693" w:rsidP="00182693">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182693" w:rsidRPr="00182693" w:rsidRDefault="00182693" w:rsidP="00182693">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182693">
        <w:rPr>
          <w:rFonts w:ascii="微软雅黑" w:eastAsia="微软雅黑" w:hAnsi="微软雅黑" w:hint="eastAsia"/>
          <w:color w:val="333333"/>
          <w:sz w:val="22"/>
          <w:szCs w:val="22"/>
          <w:bdr w:val="none" w:sz="0" w:space="0" w:color="auto" w:frame="1"/>
        </w:rPr>
        <w:t>2</w:t>
      </w:r>
      <w:r w:rsidRPr="00182693">
        <w:rPr>
          <w:rFonts w:ascii="微软雅黑" w:eastAsia="微软雅黑" w:hAnsi="微软雅黑"/>
          <w:color w:val="333333"/>
          <w:sz w:val="22"/>
          <w:szCs w:val="22"/>
          <w:bdr w:val="none" w:sz="0" w:space="0" w:color="auto" w:frame="1"/>
        </w:rPr>
        <w:t>018-06-15</w:t>
      </w:r>
    </w:p>
    <w:p w:rsidR="00182693" w:rsidRPr="00182693" w:rsidRDefault="00182693" w:rsidP="00182693">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DB4A4F" w:rsidRPr="00182693" w:rsidRDefault="00DB4A4F" w:rsidP="00182693">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182693">
        <w:rPr>
          <w:rFonts w:ascii="微软雅黑" w:eastAsia="微软雅黑" w:hAnsi="微软雅黑" w:hint="eastAsia"/>
          <w:color w:val="333333"/>
          <w:sz w:val="21"/>
          <w:szCs w:val="21"/>
          <w:bdr w:val="none" w:sz="0" w:space="0" w:color="auto" w:frame="1"/>
        </w:rPr>
        <w:t>（1994年12月26日国税发〔1994〕267号公布 自1995年1月1日起施行 根据2018年6月15日《国家税务总局关于修改部分税务部门规章的决定》国家税务总局令第44号修正）</w:t>
      </w:r>
    </w:p>
    <w:p w:rsidR="00DB4A4F" w:rsidRPr="00182693" w:rsidRDefault="00DB4A4F" w:rsidP="00182693">
      <w:pPr>
        <w:pStyle w:val="a3"/>
        <w:shd w:val="clear" w:color="auto" w:fill="FFFFFF"/>
        <w:spacing w:before="0" w:beforeAutospacing="0" w:after="0" w:afterAutospacing="0" w:line="500" w:lineRule="exact"/>
        <w:jc w:val="center"/>
        <w:rPr>
          <w:rFonts w:ascii="微软雅黑" w:eastAsia="微软雅黑" w:hAnsi="微软雅黑"/>
          <w:color w:val="333333"/>
        </w:rPr>
      </w:pP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color w:val="333333"/>
        </w:rPr>
      </w:pPr>
      <w:r w:rsidRPr="00182693">
        <w:rPr>
          <w:rFonts w:ascii="微软雅黑" w:eastAsia="微软雅黑" w:hAnsi="微软雅黑" w:hint="eastAsia"/>
          <w:color w:val="333333"/>
          <w:bdr w:val="none" w:sz="0" w:space="0" w:color="auto" w:frame="1"/>
        </w:rPr>
        <w:t>根据财政部、国家税务总局《关于调整金银首饰消费税纳税环节有关问题的通知》（以下简称《通知》）(财税字[94]095号)的有关规定，特制定本办法。</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b/>
          <w:bCs/>
          <w:color w:val="C00000"/>
        </w:rPr>
      </w:pPr>
      <w:r w:rsidRPr="00182693">
        <w:rPr>
          <w:rFonts w:ascii="微软雅黑" w:eastAsia="微软雅黑" w:hAnsi="微软雅黑" w:hint="eastAsia"/>
          <w:b/>
          <w:bCs/>
          <w:color w:val="C00000"/>
          <w:bdr w:val="none" w:sz="0" w:space="0" w:color="auto" w:frame="1"/>
        </w:rPr>
        <w:t>一、金银首饰的范围</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color w:val="333333"/>
        </w:rPr>
      </w:pPr>
      <w:r w:rsidRPr="00182693">
        <w:rPr>
          <w:rFonts w:ascii="微软雅黑" w:eastAsia="微软雅黑" w:hAnsi="微软雅黑" w:hint="eastAsia"/>
          <w:color w:val="333333"/>
          <w:bdr w:val="none" w:sz="0" w:space="0" w:color="auto" w:frame="1"/>
        </w:rPr>
        <w:t>《通知》第一条所称“金银首饰的范围”不包括镀金（银）、包金（银）首饰，以及镀金（银）、包金（银）的镶嵌首饰。</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b/>
          <w:bCs/>
          <w:color w:val="C00000"/>
        </w:rPr>
      </w:pPr>
      <w:r w:rsidRPr="00182693">
        <w:rPr>
          <w:rFonts w:ascii="微软雅黑" w:eastAsia="微软雅黑" w:hAnsi="微软雅黑" w:hint="eastAsia"/>
          <w:b/>
          <w:bCs/>
          <w:color w:val="C00000"/>
          <w:bdr w:val="none" w:sz="0" w:space="0" w:color="auto" w:frame="1"/>
        </w:rPr>
        <w:t>二、应税与非应税的划分</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color w:val="333333"/>
        </w:rPr>
      </w:pPr>
      <w:r w:rsidRPr="00182693">
        <w:rPr>
          <w:rFonts w:ascii="微软雅黑" w:eastAsia="微软雅黑" w:hAnsi="微软雅黑" w:hint="eastAsia"/>
          <w:color w:val="333333"/>
          <w:bdr w:val="none" w:sz="0" w:space="0" w:color="auto" w:frame="1"/>
        </w:rPr>
        <w:t>经营单位兼营生产、加工、批发、零售业务的，应分别核算销售额，未分别核算销售额或者划分不清的，一律视同零售征收消费税。</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b/>
          <w:bCs/>
          <w:color w:val="C00000"/>
        </w:rPr>
      </w:pPr>
      <w:r w:rsidRPr="00182693">
        <w:rPr>
          <w:rFonts w:ascii="微软雅黑" w:eastAsia="微软雅黑" w:hAnsi="微软雅黑" w:hint="eastAsia"/>
          <w:b/>
          <w:bCs/>
          <w:color w:val="C00000"/>
          <w:bdr w:val="none" w:sz="0" w:space="0" w:color="auto" w:frame="1"/>
        </w:rPr>
        <w:t>三、纳税地点</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color w:val="333333"/>
        </w:rPr>
      </w:pPr>
      <w:r w:rsidRPr="00182693">
        <w:rPr>
          <w:rFonts w:ascii="微软雅黑" w:eastAsia="微软雅黑" w:hAnsi="微软雅黑" w:hint="eastAsia"/>
          <w:color w:val="333333"/>
          <w:bdr w:val="none" w:sz="0" w:space="0" w:color="auto" w:frame="1"/>
        </w:rPr>
        <w:t>固定业户到外县（市）临时销售金银首饰，应当向其机构所在地主管税务局申请开具外出经营活动税收管理证明，回其机构所在地向主管税务局申报纳税。未持有其机构所在地主管税务局核发的外出经营活动税收管理证明的，销售地主管税务局一律按规定征收消费税。其在销售地发生的销售额，</w:t>
      </w:r>
      <w:proofErr w:type="gramStart"/>
      <w:r w:rsidRPr="00182693">
        <w:rPr>
          <w:rFonts w:ascii="微软雅黑" w:eastAsia="微软雅黑" w:hAnsi="微软雅黑" w:hint="eastAsia"/>
          <w:color w:val="333333"/>
          <w:bdr w:val="none" w:sz="0" w:space="0" w:color="auto" w:frame="1"/>
        </w:rPr>
        <w:t>回机构</w:t>
      </w:r>
      <w:proofErr w:type="gramEnd"/>
      <w:r w:rsidRPr="00182693">
        <w:rPr>
          <w:rFonts w:ascii="微软雅黑" w:eastAsia="微软雅黑" w:hAnsi="微软雅黑" w:hint="eastAsia"/>
          <w:color w:val="333333"/>
          <w:bdr w:val="none" w:sz="0" w:space="0" w:color="auto" w:frame="1"/>
        </w:rPr>
        <w:t>所在地后仍应按规定申报纳税，在销售地缴纳的消费税款不得从应纳税额中扣减。</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b/>
          <w:bCs/>
          <w:color w:val="C00000"/>
        </w:rPr>
      </w:pPr>
      <w:r w:rsidRPr="00182693">
        <w:rPr>
          <w:rFonts w:ascii="微软雅黑" w:eastAsia="微软雅黑" w:hAnsi="微软雅黑" w:hint="eastAsia"/>
          <w:b/>
          <w:bCs/>
          <w:color w:val="C00000"/>
          <w:bdr w:val="none" w:sz="0" w:space="0" w:color="auto" w:frame="1"/>
        </w:rPr>
        <w:t>四、申报资料</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color w:val="333333"/>
        </w:rPr>
      </w:pPr>
      <w:r w:rsidRPr="00182693">
        <w:rPr>
          <w:rFonts w:ascii="微软雅黑" w:eastAsia="微软雅黑" w:hAnsi="微软雅黑" w:hint="eastAsia"/>
          <w:color w:val="333333"/>
          <w:bdr w:val="none" w:sz="0" w:space="0" w:color="auto" w:frame="1"/>
        </w:rPr>
        <w:t>纳税人办理纳税申报时，除应按《中华人民共和国税收征收管理法》（以下简称《征管法》）的规定报送有关资料外，还应报送下列资料：</w:t>
      </w:r>
    </w:p>
    <w:p w:rsidR="00DB4A4F"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color w:val="333333"/>
        </w:rPr>
      </w:pPr>
      <w:r w:rsidRPr="00182693">
        <w:rPr>
          <w:rFonts w:ascii="微软雅黑" w:eastAsia="微软雅黑" w:hAnsi="微软雅黑" w:hint="eastAsia"/>
          <w:color w:val="333333"/>
          <w:bdr w:val="none" w:sz="0" w:space="0" w:color="auto" w:frame="1"/>
        </w:rPr>
        <w:t>《金银饰品购销存月报表》（另行下发）。</w:t>
      </w:r>
      <w:bookmarkStart w:id="0" w:name="_GoBack"/>
      <w:bookmarkEnd w:id="0"/>
    </w:p>
    <w:p w:rsidR="00F34711" w:rsidRPr="00182693" w:rsidRDefault="00DB4A4F" w:rsidP="00182693">
      <w:pPr>
        <w:pStyle w:val="a3"/>
        <w:shd w:val="clear" w:color="auto" w:fill="FFFFFF"/>
        <w:spacing w:before="0" w:beforeAutospacing="0" w:after="0" w:afterAutospacing="0" w:line="500" w:lineRule="exact"/>
        <w:ind w:firstLine="480"/>
        <w:rPr>
          <w:rFonts w:ascii="微软雅黑" w:eastAsia="微软雅黑" w:hAnsi="微软雅黑" w:hint="eastAsia"/>
          <w:b/>
          <w:bCs/>
          <w:color w:val="C00000"/>
        </w:rPr>
      </w:pPr>
      <w:r w:rsidRPr="00182693">
        <w:rPr>
          <w:rFonts w:ascii="微软雅黑" w:eastAsia="微软雅黑" w:hAnsi="微软雅黑" w:hint="eastAsia"/>
          <w:b/>
          <w:bCs/>
          <w:color w:val="C00000"/>
          <w:bdr w:val="none" w:sz="0" w:space="0" w:color="auto" w:frame="1"/>
        </w:rPr>
        <w:t>五、其他征管事项，按《征管法》的有关规定办理。</w:t>
      </w:r>
    </w:p>
    <w:sectPr w:rsidR="00F34711" w:rsidRPr="00182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4F"/>
    <w:rsid w:val="00182693"/>
    <w:rsid w:val="00DB4A4F"/>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0400"/>
  <w15:chartTrackingRefBased/>
  <w15:docId w15:val="{5B648DC8-78F9-4330-A4D5-E9F2AB8D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A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2025-09-21T14:43:00Z</dcterms:created>
  <dcterms:modified xsi:type="dcterms:W3CDTF">2025-09-22T05:16:00Z</dcterms:modified>
</cp:coreProperties>
</file>